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A3A" w:rsidRDefault="004B1A3A" w:rsidP="004B1A3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pacing w:val="-5"/>
          <w:sz w:val="28"/>
          <w:szCs w:val="28"/>
          <w:lang w:eastAsia="ru-RU"/>
        </w:rPr>
      </w:pPr>
      <w:r w:rsidRPr="004B1A3A">
        <w:rPr>
          <w:rFonts w:ascii="Times New Roman" w:eastAsia="Times New Roman" w:hAnsi="Times New Roman" w:cs="Times New Roman"/>
          <w:b/>
          <w:color w:val="000000" w:themeColor="text1"/>
          <w:spacing w:val="-5"/>
          <w:sz w:val="28"/>
          <w:szCs w:val="28"/>
          <w:lang w:eastAsia="ru-RU"/>
        </w:rPr>
        <w:t>Минеральные удобрения</w:t>
      </w:r>
      <w:r w:rsidR="00435D13">
        <w:rPr>
          <w:rFonts w:ascii="Times New Roman" w:eastAsia="Times New Roman" w:hAnsi="Times New Roman" w:cs="Times New Roman"/>
          <w:b/>
          <w:color w:val="000000" w:themeColor="text1"/>
          <w:spacing w:val="-5"/>
          <w:sz w:val="28"/>
          <w:szCs w:val="28"/>
          <w:lang w:eastAsia="ru-RU"/>
        </w:rPr>
        <w:t xml:space="preserve"> подсолнечника</w:t>
      </w:r>
    </w:p>
    <w:p w:rsidR="000139A3" w:rsidRPr="004B1A3A" w:rsidRDefault="000139A3" w:rsidP="004B1A3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pacing w:val="-5"/>
          <w:sz w:val="28"/>
          <w:szCs w:val="28"/>
          <w:lang w:eastAsia="ru-RU"/>
        </w:rPr>
      </w:pPr>
    </w:p>
    <w:p w:rsidR="004B1A3A" w:rsidRPr="004B1A3A" w:rsidRDefault="004B1A3A" w:rsidP="004B1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Подсолнечник предъявляет относительно высокие требования к наличию в почве усвояемых форм питательных веществ. На образование единицы урожая (</w:t>
      </w:r>
      <w:proofErr w:type="spell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proofErr w:type="spell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) он поглощает в зависимости от генотипа и места выращивания 4…6 кг N, 2…5 кг Р</w:t>
      </w:r>
      <w:r w:rsidRPr="004B1A3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4B1A3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5</w:t>
      </w:r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, 10…12 кг К</w:t>
      </w:r>
      <w:r w:rsidRPr="004B1A3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О, около 1.7 кг </w:t>
      </w:r>
      <w:proofErr w:type="spellStart"/>
      <w:proofErr w:type="gram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gO</w:t>
      </w:r>
      <w:proofErr w:type="spell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3.0 кг SO</w:t>
      </w:r>
      <w:r w:rsidRPr="004B1A3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4</w:t>
      </w:r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 в несколько раз выше, чем поглощение питательных веществ зерновыми. Из микроэлементов подсолнечнику необходимо значительное количество бора. Согласно данным французских исследователей, соотношение между поглощением с урожаем и возвратом с растительными остатками в почву для разных питательных веществ неодинаковое (табл. 1). Растения в отдельные фазы развития имеют различную потребность в питательных веществах и в зависимости от этого поглощают различные их количества (рис. 1).</w:t>
      </w:r>
    </w:p>
    <w:p w:rsidR="004B1A3A" w:rsidRDefault="004B1A3A" w:rsidP="004B1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Азот поглощается от начала роста и развития. До образования цветков он накапливается в листьях и стеблях, а с появлением бутонов — в корзинках. До цветения поглощение азота из почвы в основном заканчивается и начинается перемещение в форме аминокислот из стебля и листьев в корзинки (рис. 2).</w:t>
      </w:r>
    </w:p>
    <w:p w:rsidR="003C0BA9" w:rsidRPr="004B1A3A" w:rsidRDefault="003C0BA9" w:rsidP="004B1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7018" w:type="dxa"/>
        <w:jc w:val="center"/>
        <w:tblCellMar>
          <w:top w:w="61" w:type="dxa"/>
          <w:left w:w="61" w:type="dxa"/>
          <w:bottom w:w="61" w:type="dxa"/>
          <w:right w:w="61" w:type="dxa"/>
        </w:tblCellMar>
        <w:tblLook w:val="04A0"/>
      </w:tblPr>
      <w:tblGrid>
        <w:gridCol w:w="1760"/>
        <w:gridCol w:w="1449"/>
        <w:gridCol w:w="694"/>
        <w:gridCol w:w="419"/>
        <w:gridCol w:w="1680"/>
        <w:gridCol w:w="1016"/>
      </w:tblGrid>
      <w:tr w:rsidR="004B1A3A" w:rsidRPr="004B1A3A" w:rsidTr="004B1A3A">
        <w:trPr>
          <w:trHeight w:val="149"/>
          <w:jc w:val="center"/>
        </w:trPr>
        <w:tc>
          <w:tcPr>
            <w:tcW w:w="0" w:type="auto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D9D6BA"/>
            <w:vAlign w:val="center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Таблица №1.</w:t>
            </w: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br/>
              <w:t xml:space="preserve">Поглощение, вынос и возврат питательных веществ в почву при урожайности 35 </w:t>
            </w:r>
            <w:proofErr w:type="spellStart"/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ц</w:t>
            </w:r>
            <w:proofErr w:type="spellEnd"/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/га</w:t>
            </w:r>
          </w:p>
        </w:tc>
      </w:tr>
      <w:tr w:rsidR="004B1A3A" w:rsidRPr="004B1A3A" w:rsidTr="004B1A3A">
        <w:trPr>
          <w:jc w:val="center"/>
        </w:trPr>
        <w:tc>
          <w:tcPr>
            <w:tcW w:w="0" w:type="auto"/>
            <w:vMerge w:val="restart"/>
            <w:shd w:val="clear" w:color="auto" w:fill="D9D6BA"/>
            <w:vAlign w:val="center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  <w:t>Питательные вещества</w:t>
            </w:r>
          </w:p>
        </w:tc>
        <w:tc>
          <w:tcPr>
            <w:tcW w:w="0" w:type="auto"/>
            <w:vMerge w:val="restart"/>
            <w:shd w:val="clear" w:color="auto" w:fill="D9D6BA"/>
            <w:vAlign w:val="center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  <w:t>Поглощение, </w:t>
            </w:r>
            <w:proofErr w:type="gramStart"/>
            <w:r w:rsidRPr="004B1A3A"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  <w:t>кг</w:t>
            </w:r>
            <w:proofErr w:type="gramEnd"/>
            <w:r w:rsidRPr="004B1A3A"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  <w:t>/га</w:t>
            </w:r>
          </w:p>
        </w:tc>
        <w:tc>
          <w:tcPr>
            <w:tcW w:w="0" w:type="auto"/>
            <w:gridSpan w:val="2"/>
            <w:shd w:val="clear" w:color="auto" w:fill="D9D6BA"/>
            <w:vAlign w:val="center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  <w:t>Вынос с урожаем</w:t>
            </w:r>
          </w:p>
        </w:tc>
        <w:tc>
          <w:tcPr>
            <w:tcW w:w="0" w:type="auto"/>
            <w:gridSpan w:val="2"/>
            <w:shd w:val="clear" w:color="auto" w:fill="D9D6BA"/>
            <w:vAlign w:val="center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  <w:t>Возврат с растительными остатками в почву</w:t>
            </w:r>
          </w:p>
        </w:tc>
      </w:tr>
      <w:tr w:rsidR="004B1A3A" w:rsidRPr="004B1A3A" w:rsidTr="004B1A3A">
        <w:trPr>
          <w:jc w:val="center"/>
        </w:trPr>
        <w:tc>
          <w:tcPr>
            <w:tcW w:w="0" w:type="auto"/>
            <w:vMerge/>
            <w:shd w:val="clear" w:color="auto" w:fill="D9D6BA"/>
            <w:vAlign w:val="center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D9D6BA"/>
            <w:vAlign w:val="center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</w:pPr>
          </w:p>
        </w:tc>
        <w:tc>
          <w:tcPr>
            <w:tcW w:w="0" w:type="auto"/>
            <w:shd w:val="clear" w:color="auto" w:fill="D9D6BA"/>
            <w:vAlign w:val="center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</w:pPr>
            <w:proofErr w:type="gramStart"/>
            <w:r w:rsidRPr="004B1A3A"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  <w:t>кг</w:t>
            </w:r>
            <w:proofErr w:type="gramEnd"/>
            <w:r w:rsidRPr="004B1A3A"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  <w:t>/га</w:t>
            </w:r>
          </w:p>
        </w:tc>
        <w:tc>
          <w:tcPr>
            <w:tcW w:w="0" w:type="auto"/>
            <w:shd w:val="clear" w:color="auto" w:fill="D9D6BA"/>
            <w:vAlign w:val="center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  <w:t>%</w:t>
            </w:r>
          </w:p>
        </w:tc>
        <w:tc>
          <w:tcPr>
            <w:tcW w:w="0" w:type="auto"/>
            <w:shd w:val="clear" w:color="auto" w:fill="D9D6BA"/>
            <w:vAlign w:val="center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</w:pPr>
            <w:proofErr w:type="gramStart"/>
            <w:r w:rsidRPr="004B1A3A"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  <w:t>кг</w:t>
            </w:r>
            <w:proofErr w:type="gramEnd"/>
            <w:r w:rsidRPr="004B1A3A"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  <w:t>/га</w:t>
            </w:r>
          </w:p>
        </w:tc>
        <w:tc>
          <w:tcPr>
            <w:tcW w:w="0" w:type="auto"/>
            <w:shd w:val="clear" w:color="auto" w:fill="D9D6BA"/>
            <w:vAlign w:val="center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  <w:t>%</w:t>
            </w:r>
          </w:p>
        </w:tc>
      </w:tr>
      <w:tr w:rsidR="004B1A3A" w:rsidRPr="004B1A3A" w:rsidTr="004B1A3A">
        <w:trPr>
          <w:jc w:val="center"/>
        </w:trPr>
        <w:tc>
          <w:tcPr>
            <w:tcW w:w="0" w:type="auto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P</w:t>
            </w: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vertAlign w:val="subscript"/>
                <w:lang w:eastAsia="ru-RU"/>
              </w:rPr>
              <w:t>2</w:t>
            </w: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O</w:t>
            </w: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vertAlign w:val="subscript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87</w:t>
            </w:r>
          </w:p>
        </w:tc>
        <w:tc>
          <w:tcPr>
            <w:tcW w:w="0" w:type="auto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54</w:t>
            </w:r>
          </w:p>
        </w:tc>
        <w:tc>
          <w:tcPr>
            <w:tcW w:w="0" w:type="auto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62</w:t>
            </w:r>
          </w:p>
        </w:tc>
        <w:tc>
          <w:tcPr>
            <w:tcW w:w="0" w:type="auto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38</w:t>
            </w:r>
          </w:p>
        </w:tc>
      </w:tr>
      <w:tr w:rsidR="004B1A3A" w:rsidRPr="004B1A3A" w:rsidTr="004B1A3A">
        <w:trPr>
          <w:jc w:val="center"/>
        </w:trPr>
        <w:tc>
          <w:tcPr>
            <w:tcW w:w="0" w:type="auto"/>
            <w:shd w:val="clear" w:color="auto" w:fill="F5F5EF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к</w:t>
            </w: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vertAlign w:val="subscript"/>
                <w:lang w:eastAsia="ru-RU"/>
              </w:rPr>
              <w:t>2</w:t>
            </w: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O</w:t>
            </w:r>
          </w:p>
        </w:tc>
        <w:tc>
          <w:tcPr>
            <w:tcW w:w="0" w:type="auto"/>
            <w:shd w:val="clear" w:color="auto" w:fill="F5F5EF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385</w:t>
            </w:r>
          </w:p>
        </w:tc>
        <w:tc>
          <w:tcPr>
            <w:tcW w:w="0" w:type="auto"/>
            <w:shd w:val="clear" w:color="auto" w:fill="F5F5EF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82</w:t>
            </w:r>
          </w:p>
        </w:tc>
        <w:tc>
          <w:tcPr>
            <w:tcW w:w="0" w:type="auto"/>
            <w:shd w:val="clear" w:color="auto" w:fill="F5F5EF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21</w:t>
            </w:r>
          </w:p>
        </w:tc>
        <w:tc>
          <w:tcPr>
            <w:tcW w:w="0" w:type="auto"/>
            <w:shd w:val="clear" w:color="auto" w:fill="F5F5EF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303</w:t>
            </w:r>
          </w:p>
        </w:tc>
        <w:tc>
          <w:tcPr>
            <w:tcW w:w="0" w:type="auto"/>
            <w:shd w:val="clear" w:color="auto" w:fill="F5F5EF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79</w:t>
            </w:r>
          </w:p>
        </w:tc>
      </w:tr>
      <w:tr w:rsidR="004B1A3A" w:rsidRPr="004B1A3A" w:rsidTr="004B1A3A">
        <w:trPr>
          <w:jc w:val="center"/>
        </w:trPr>
        <w:tc>
          <w:tcPr>
            <w:tcW w:w="0" w:type="auto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proofErr w:type="spellStart"/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MgO</w:t>
            </w:r>
            <w:proofErr w:type="spellEnd"/>
          </w:p>
        </w:tc>
        <w:tc>
          <w:tcPr>
            <w:tcW w:w="0" w:type="auto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70</w:t>
            </w:r>
          </w:p>
        </w:tc>
        <w:tc>
          <w:tcPr>
            <w:tcW w:w="0" w:type="auto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56</w:t>
            </w:r>
          </w:p>
        </w:tc>
        <w:tc>
          <w:tcPr>
            <w:tcW w:w="0" w:type="auto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80</w:t>
            </w:r>
          </w:p>
        </w:tc>
      </w:tr>
      <w:tr w:rsidR="004B1A3A" w:rsidRPr="004B1A3A" w:rsidTr="004B1A3A">
        <w:trPr>
          <w:jc w:val="center"/>
        </w:trPr>
        <w:tc>
          <w:tcPr>
            <w:tcW w:w="0" w:type="auto"/>
            <w:shd w:val="clear" w:color="auto" w:fill="F5F5EF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proofErr w:type="spellStart"/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СаО</w:t>
            </w:r>
            <w:proofErr w:type="spellEnd"/>
          </w:p>
        </w:tc>
        <w:tc>
          <w:tcPr>
            <w:tcW w:w="0" w:type="auto"/>
            <w:shd w:val="clear" w:color="auto" w:fill="F5F5EF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210</w:t>
            </w:r>
          </w:p>
        </w:tc>
        <w:tc>
          <w:tcPr>
            <w:tcW w:w="0" w:type="auto"/>
            <w:shd w:val="clear" w:color="auto" w:fill="F5F5EF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6</w:t>
            </w:r>
          </w:p>
        </w:tc>
        <w:tc>
          <w:tcPr>
            <w:tcW w:w="0" w:type="auto"/>
            <w:shd w:val="clear" w:color="auto" w:fill="F5F5EF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3</w:t>
            </w:r>
          </w:p>
        </w:tc>
        <w:tc>
          <w:tcPr>
            <w:tcW w:w="0" w:type="auto"/>
            <w:shd w:val="clear" w:color="auto" w:fill="F5F5EF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204</w:t>
            </w:r>
          </w:p>
        </w:tc>
        <w:tc>
          <w:tcPr>
            <w:tcW w:w="0" w:type="auto"/>
            <w:shd w:val="clear" w:color="auto" w:fill="F5F5EF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97</w:t>
            </w:r>
          </w:p>
        </w:tc>
      </w:tr>
    </w:tbl>
    <w:p w:rsidR="004B1A3A" w:rsidRPr="004B1A3A" w:rsidRDefault="004B1A3A" w:rsidP="004B1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достаточном снабжении азотом от начала роста и развития образуется большая листовая поверхность, медленнее происходит старение листьев после цветения, закладывается большее число цветков в корзинках и накапливается больший резерв протеина, перемещающегося затем в семена. Благодаря своей развитой корневой системе подсолнечник на биологически активных почвах с глубоким пахотным слоем и высокой способностью к минерализации в состоянии усваивать большую часть необходимого азота из запасов почвы. Поэтому после его выращивания почвы обеднены азотом (рис. 21)</w:t>
      </w:r>
      <w:proofErr w:type="gram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proofErr w:type="gram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то надо учитывать при посевах следующих культур.</w:t>
      </w:r>
    </w:p>
    <w:p w:rsidR="004B1A3A" w:rsidRPr="004B1A3A" w:rsidRDefault="00B62BE6" w:rsidP="004B1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BE6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2pt;height:24.2pt"/>
        </w:pict>
      </w:r>
      <w:r w:rsidR="004B1A3A"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Рис. 1. Поглощение питательных веществ растениями подсолнечника (среднее по двум сортам при урожае сухой массы около 120 </w:t>
      </w:r>
      <w:proofErr w:type="spellStart"/>
      <w:r w:rsidR="004B1A3A"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proofErr w:type="spellEnd"/>
      <w:r w:rsidR="004B1A3A"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/га).</w:t>
      </w:r>
    </w:p>
    <w:p w:rsidR="004B1A3A" w:rsidRPr="004B1A3A" w:rsidRDefault="004B1A3A" w:rsidP="004B1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Несмотря на относительно высокий вынос азота из почвы, следует вносить азотных удобрений не более 50...80 кг N/га. Более высокие дозы снижают устойчивость к полеганию, повышают риск поражения болезнями и задерживают созревание. При показателях </w:t>
      </w:r>
      <w:proofErr w:type="spell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N</w:t>
      </w:r>
      <w:r w:rsidRPr="004B1A3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min</w:t>
      </w:r>
      <w:proofErr w:type="spell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почве (0...60 см) выше 100 кг N/га азотные удобрения можно не вносить; при </w:t>
      </w:r>
      <w:proofErr w:type="spell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N</w:t>
      </w:r>
      <w:r w:rsidRPr="004B1A3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min</w:t>
      </w:r>
      <w:proofErr w:type="spell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50...100 кг/га достаточно дозы 30...50 кг N/ га, а при </w:t>
      </w:r>
      <w:proofErr w:type="spell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N</w:t>
      </w:r>
      <w:r w:rsidRPr="004B1A3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min</w:t>
      </w:r>
      <w:proofErr w:type="spell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ниже 50 кг/га можно внести 80 кг N/га. Методом </w:t>
      </w:r>
      <w:proofErr w:type="spell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N</w:t>
      </w:r>
      <w:r w:rsidRPr="004B1A3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min</w:t>
      </w:r>
      <w:proofErr w:type="spell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определяется только содержание минерального азота до посева и не учитывается азот, который будет доступным для растений </w:t>
      </w:r>
      <w:proofErr w:type="spell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вследствии</w:t>
      </w:r>
      <w:proofErr w:type="spell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процессов минерализации органических форм в течение вегетационного периода. Поэтому показатели </w:t>
      </w:r>
      <w:proofErr w:type="spell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N</w:t>
      </w:r>
      <w:r w:rsidRPr="004B1A3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min</w:t>
      </w:r>
      <w:proofErr w:type="spell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можно использовать только как ориентировочные. На более тяжелых почвах следует внести полную дозу до посева. На более легких почвах дозы около 80 кг N/га целесообразно дробить: внести половину дозы до посева, а половину при смыкании рядов. Предпочтительны азотные удобрения в форме известково-аммиачной селитры. Мочевина менее пригодна, так как она медленно разлагается, ее надо сразу же </w:t>
      </w:r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заделывать, кроме того имеются трудности при равномерном распределении относительно малых доз (≈1 </w:t>
      </w:r>
      <w:proofErr w:type="spell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proofErr w:type="spell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/га). Раннему поражению подсолнечника белой гнилью (</w:t>
      </w:r>
      <w:proofErr w:type="spell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Sclerotinia</w:t>
      </w:r>
      <w:proofErr w:type="spell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sclerotiorum</w:t>
      </w:r>
      <w:proofErr w:type="spell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препятствует внесение цианамида кальция (до 3 </w:t>
      </w:r>
      <w:proofErr w:type="spell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proofErr w:type="spell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/га при высоте стеблестоя 30 см).</w:t>
      </w:r>
    </w:p>
    <w:p w:rsidR="003C0BA9" w:rsidRDefault="003C0BA9" w:rsidP="004B1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603563" cy="3273399"/>
            <wp:effectExtent l="19050" t="0" r="6537" b="0"/>
            <wp:docPr id="4" name="Рисунок 4" descr="C:\Users\User\Desktop\БИЛЕТТЕР МЕН БАЗАЛАР 2020 ГОД\БАЗА 2020 ПРОГНОЗИР И ПРОГРАММИРОВАН 2020\art583_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БИЛЕТТЕР МЕН БАЗАЛАР 2020 ГОД\БАЗА 2020 ПРОГНОЗИР И ПРОГРАММИРОВАН 2020\art583_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6206" cy="3275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1A3A" w:rsidRPr="004B1A3A" w:rsidRDefault="004B1A3A" w:rsidP="003C0B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Рис 2. Показатели </w:t>
      </w:r>
      <w:proofErr w:type="spell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N</w:t>
      </w:r>
      <w:r w:rsidRPr="004B1A3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min</w:t>
      </w:r>
      <w:proofErr w:type="spell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на разных глубинах в слое 20 см в песчаном суглинке до посева и после уборки подсолнечника (при выращивании </w:t>
      </w:r>
      <w:proofErr w:type="gram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</w:t>
      </w:r>
      <w:proofErr w:type="gram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 орошением)</w:t>
      </w:r>
    </w:p>
    <w:p w:rsidR="004B1A3A" w:rsidRPr="004B1A3A" w:rsidRDefault="004B1A3A" w:rsidP="004B1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Потребность подсолнечника в фосфоре относительно низкая. Самое высокое его содержание в стеблях и днищах корзинок, после цветения он перемещается из этих органов в семена, а растения продолжают поглощать фосфор из почвы. 75% фосфора находится при созревании в семенах, т. е. почти весь поглощенный фосфор выносится с поля. В отношении калия ситуация иная. Потребность растений в калии высокая, он накапливается </w:t>
      </w:r>
      <w:proofErr w:type="gram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начале</w:t>
      </w:r>
      <w:proofErr w:type="gram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стеблях, а после цветения также в днище корзинок. Перемещение в семена незначительно, поэтому в противоположность азоту и фосфору происходит возврат большого количества калия в почву с растительными остатками. Недостаток калия проявляется в хлорозах на краях листьев, которые часто изгибаются вверх. Потребность в магнии ниже, чем в фосфоре, как </w:t>
      </w:r>
      <w:proofErr w:type="gram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правило</w:t>
      </w:r>
      <w:proofErr w:type="gram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ее удовлетворение не представляет проблемы. Недостаток этого элемента вызывает снижение массы тысячи семян, В период цветения листья просветляются между жилками, позже отмирают и края листьев загибаются вниз. Относительный недостаток магния может вызывать и </w:t>
      </w:r>
      <w:proofErr w:type="spell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переудобрение</w:t>
      </w:r>
      <w:proofErr w:type="spell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калием </w:t>
      </w:r>
      <w:proofErr w:type="spell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вследствии</w:t>
      </w:r>
      <w:proofErr w:type="spell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антагонизма между этими элементами. При среднем содержании в почвах фосфора 15...25 мг/100 г почвы, калия 15...25 и магния 7... 12 мг/100г почвы рекомендуют следующие дозы удобрений на гектар: фосфора — 70...80 кг Р</w:t>
      </w:r>
      <w:r w:rsidRPr="004B1A3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O</w:t>
      </w:r>
      <w:r w:rsidRPr="004B1A3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5</w:t>
      </w:r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, калия — 160...200 кг К</w:t>
      </w:r>
      <w:r w:rsidRPr="004B1A3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O, магния — 60...70 кг </w:t>
      </w:r>
      <w:proofErr w:type="spell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MgO</w:t>
      </w:r>
      <w:proofErr w:type="spell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Для предотвращения </w:t>
      </w:r>
      <w:proofErr w:type="spell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пересоления</w:t>
      </w:r>
      <w:proofErr w:type="spell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пахотного слоя, к которому подсолнечник очень чувствителен, следует внести эти удобрения осенью до зяблевой вспашки. Калийные удобрения должны быть в сульфатной форме, поскольку подсолнечник очень чувствителен к хлоридам.</w:t>
      </w:r>
    </w:p>
    <w:p w:rsidR="004B1A3A" w:rsidRPr="004B1A3A" w:rsidRDefault="004B1A3A" w:rsidP="004B1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Потребность в сере примерно в три раза выше, чем у зерновых, и достигает 50% потребности рапса. На бедных серой почвах рекомендуется внесение сульфата калия.</w:t>
      </w:r>
    </w:p>
    <w:p w:rsidR="004B1A3A" w:rsidRPr="004B1A3A" w:rsidRDefault="004B1A3A" w:rsidP="004B1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содержанию извести в почве и к почвенной реакции подсолнечник толерантен. Оптимальные показатели </w:t>
      </w:r>
      <w:proofErr w:type="spell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рН</w:t>
      </w:r>
      <w:proofErr w:type="spell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равняются 6.2...7.0. Важно не допускать слишком высоких (выше 7,0) показателей </w:t>
      </w:r>
      <w:proofErr w:type="spell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рН</w:t>
      </w:r>
      <w:proofErr w:type="spell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так как при этом бор становится недоступным растениям. Из микроэлементов только бор имеет значение при выращивании подсолнечника. Он поглощает на 1 </w:t>
      </w:r>
      <w:proofErr w:type="spell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proofErr w:type="spell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урожая 6.5 г бора, причем 22% выносится с семенами. Основное количество бора (80%) потребляется в фазе 5-ти листьев до появления бутонов цветков. Потребность подсолнечника в боре выше, чем сахарной свеклы. Недостаток бора особенно проявляется на почвах со щелочной реакцией и на легких почвах с неглубоким пахотным слоем. Он усиливается при засухе и дефиците влаги, а также плохой структуре почвы и уплотнении почвы и подпочвы. Необходимость удобрения бором проверяют анализом почвы (табл. 2).</w:t>
      </w:r>
    </w:p>
    <w:p w:rsidR="004B1A3A" w:rsidRPr="004B1A3A" w:rsidRDefault="004B1A3A" w:rsidP="004B1A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7018" w:type="dxa"/>
        <w:jc w:val="center"/>
        <w:tblCellMar>
          <w:top w:w="61" w:type="dxa"/>
          <w:left w:w="61" w:type="dxa"/>
          <w:bottom w:w="61" w:type="dxa"/>
          <w:right w:w="61" w:type="dxa"/>
        </w:tblCellMar>
        <w:tblLook w:val="04A0"/>
      </w:tblPr>
      <w:tblGrid>
        <w:gridCol w:w="4198"/>
        <w:gridCol w:w="1410"/>
        <w:gridCol w:w="1410"/>
      </w:tblGrid>
      <w:tr w:rsidR="004B1A3A" w:rsidRPr="004B1A3A" w:rsidTr="004B1A3A">
        <w:trPr>
          <w:trHeight w:val="149"/>
          <w:jc w:val="center"/>
        </w:trPr>
        <w:tc>
          <w:tcPr>
            <w:tcW w:w="0" w:type="auto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D9D6BA"/>
            <w:vAlign w:val="center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Таблица №2.</w:t>
            </w: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br/>
              <w:t>Предельные значения содержания в почве бора (мг/100 г), при которых необходимо внесение его удобрений</w:t>
            </w:r>
          </w:p>
        </w:tc>
      </w:tr>
      <w:tr w:rsidR="004B1A3A" w:rsidRPr="004B1A3A" w:rsidTr="004B1A3A">
        <w:trPr>
          <w:jc w:val="center"/>
        </w:trPr>
        <w:tc>
          <w:tcPr>
            <w:tcW w:w="0" w:type="auto"/>
            <w:vMerge w:val="restart"/>
            <w:shd w:val="clear" w:color="auto" w:fill="D9D6BA"/>
            <w:vAlign w:val="center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  <w:t>Вид почвы</w:t>
            </w:r>
          </w:p>
        </w:tc>
        <w:tc>
          <w:tcPr>
            <w:tcW w:w="0" w:type="auto"/>
            <w:gridSpan w:val="2"/>
            <w:shd w:val="clear" w:color="auto" w:fill="D9D6BA"/>
            <w:vAlign w:val="center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  <w:t>Предельные значения содержания бора</w:t>
            </w:r>
          </w:p>
        </w:tc>
      </w:tr>
      <w:tr w:rsidR="004B1A3A" w:rsidRPr="004B1A3A" w:rsidTr="004B1A3A">
        <w:trPr>
          <w:jc w:val="center"/>
        </w:trPr>
        <w:tc>
          <w:tcPr>
            <w:tcW w:w="0" w:type="auto"/>
            <w:vMerge/>
            <w:shd w:val="clear" w:color="auto" w:fill="D9D6BA"/>
            <w:vAlign w:val="center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</w:pPr>
          </w:p>
        </w:tc>
        <w:tc>
          <w:tcPr>
            <w:tcW w:w="0" w:type="auto"/>
            <w:shd w:val="clear" w:color="auto" w:fill="D9D6BA"/>
            <w:vAlign w:val="center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</w:pPr>
            <w:proofErr w:type="spellStart"/>
            <w:r w:rsidRPr="004B1A3A"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  <w:t>рН</w:t>
            </w:r>
            <w:proofErr w:type="spellEnd"/>
            <w:r w:rsidRPr="004B1A3A"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  <w:t xml:space="preserve"> &lt; 7</w:t>
            </w:r>
          </w:p>
        </w:tc>
        <w:tc>
          <w:tcPr>
            <w:tcW w:w="0" w:type="auto"/>
            <w:shd w:val="clear" w:color="auto" w:fill="D9D6BA"/>
            <w:vAlign w:val="center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</w:pPr>
            <w:proofErr w:type="spellStart"/>
            <w:r w:rsidRPr="004B1A3A"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  <w:t>рН</w:t>
            </w:r>
            <w:proofErr w:type="spellEnd"/>
            <w:r w:rsidRPr="004B1A3A">
              <w:rPr>
                <w:rFonts w:ascii="Times New Roman" w:eastAsia="Times New Roman" w:hAnsi="Times New Roman" w:cs="Times New Roman"/>
                <w:b/>
                <w:bCs/>
                <w:color w:val="082B01"/>
                <w:sz w:val="13"/>
                <w:szCs w:val="13"/>
                <w:lang w:eastAsia="ru-RU"/>
              </w:rPr>
              <w:t xml:space="preserve"> &gt; 7</w:t>
            </w:r>
          </w:p>
        </w:tc>
      </w:tr>
      <w:tr w:rsidR="004B1A3A" w:rsidRPr="004B1A3A" w:rsidTr="004B1A3A">
        <w:trPr>
          <w:jc w:val="center"/>
        </w:trPr>
        <w:tc>
          <w:tcPr>
            <w:tcW w:w="0" w:type="auto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Песчаный суглинок</w:t>
            </w:r>
          </w:p>
        </w:tc>
        <w:tc>
          <w:tcPr>
            <w:tcW w:w="0" w:type="auto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0,2</w:t>
            </w:r>
          </w:p>
        </w:tc>
        <w:tc>
          <w:tcPr>
            <w:tcW w:w="0" w:type="auto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0,5</w:t>
            </w:r>
          </w:p>
        </w:tc>
      </w:tr>
      <w:tr w:rsidR="004B1A3A" w:rsidRPr="004B1A3A" w:rsidTr="004B1A3A">
        <w:trPr>
          <w:jc w:val="center"/>
        </w:trPr>
        <w:tc>
          <w:tcPr>
            <w:tcW w:w="0" w:type="auto"/>
            <w:shd w:val="clear" w:color="auto" w:fill="F5F5EF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Супесь, песчаные почвы</w:t>
            </w:r>
          </w:p>
        </w:tc>
        <w:tc>
          <w:tcPr>
            <w:tcW w:w="0" w:type="auto"/>
            <w:shd w:val="clear" w:color="auto" w:fill="F5F5EF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0,3</w:t>
            </w:r>
          </w:p>
        </w:tc>
        <w:tc>
          <w:tcPr>
            <w:tcW w:w="0" w:type="auto"/>
            <w:shd w:val="clear" w:color="auto" w:fill="F5F5EF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  <w:r w:rsidRPr="004B1A3A"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  <w:t>0,6</w:t>
            </w:r>
          </w:p>
        </w:tc>
      </w:tr>
      <w:tr w:rsidR="004B1A3A" w:rsidRPr="004B1A3A" w:rsidTr="004B1A3A">
        <w:trPr>
          <w:jc w:val="center"/>
        </w:trPr>
        <w:tc>
          <w:tcPr>
            <w:tcW w:w="0" w:type="auto"/>
            <w:shd w:val="clear" w:color="auto" w:fill="F5F5EF"/>
            <w:hideMark/>
          </w:tcPr>
          <w:p w:rsidR="004B1A3A" w:rsidRPr="004B1A3A" w:rsidRDefault="004B1A3A" w:rsidP="004B1A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</w:p>
        </w:tc>
        <w:tc>
          <w:tcPr>
            <w:tcW w:w="0" w:type="auto"/>
            <w:shd w:val="clear" w:color="auto" w:fill="F5F5EF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</w:p>
        </w:tc>
        <w:tc>
          <w:tcPr>
            <w:tcW w:w="0" w:type="auto"/>
            <w:shd w:val="clear" w:color="auto" w:fill="F5F5EF"/>
            <w:hideMark/>
          </w:tcPr>
          <w:p w:rsidR="004B1A3A" w:rsidRPr="004B1A3A" w:rsidRDefault="004B1A3A" w:rsidP="004B1A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82B01"/>
                <w:sz w:val="13"/>
                <w:szCs w:val="13"/>
                <w:lang w:eastAsia="ru-RU"/>
              </w:rPr>
            </w:pPr>
          </w:p>
        </w:tc>
      </w:tr>
    </w:tbl>
    <w:p w:rsidR="004B1A3A" w:rsidRPr="004B1A3A" w:rsidRDefault="004B1A3A" w:rsidP="004B1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Симптомы недостатка бора проявляются </w:t>
      </w:r>
      <w:proofErr w:type="gramStart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начале</w:t>
      </w:r>
      <w:proofErr w:type="gramEnd"/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листьях, на краях которых образуются пузырчатые искривления. На стебле возникают трещины, он становится ломким. Образование цветков нарушается, корзинки деформируются и в них имеются только стерильные цветки. При большом недостатке бора цветки могут совсем не образоваться. Признаком недостатка бора является также формирование боковых стеблей. В этих случаях целесообразно внести борсодержащие основные удобрения. При сильном недостатке бора рекомендуется опрыскивание почвы до посева или листьев после всходов 5... 10 кг/соли бора, содержащей 20,8% бора.</w:t>
      </w:r>
    </w:p>
    <w:p w:rsidR="004B1A3A" w:rsidRPr="004B1A3A" w:rsidRDefault="004B1A3A" w:rsidP="004B1A3A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3B3A38"/>
          <w:spacing w:val="-5"/>
          <w:sz w:val="19"/>
          <w:szCs w:val="19"/>
          <w:lang w:eastAsia="ru-RU"/>
        </w:rPr>
      </w:pPr>
      <w:r w:rsidRPr="004B1A3A">
        <w:rPr>
          <w:rFonts w:ascii="Times New Roman" w:eastAsia="Times New Roman" w:hAnsi="Times New Roman" w:cs="Times New Roman"/>
          <w:color w:val="3B3A38"/>
          <w:spacing w:val="-5"/>
          <w:sz w:val="19"/>
          <w:szCs w:val="19"/>
          <w:lang w:eastAsia="ru-RU"/>
        </w:rPr>
        <w:t>Органические удобрения</w:t>
      </w:r>
    </w:p>
    <w:p w:rsidR="004B1A3A" w:rsidRPr="004B1A3A" w:rsidRDefault="004B1A3A" w:rsidP="004B1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A3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Органические удобрения (навоз) лучше вносить под другие культуры в севообороте, так как органический азот медленно минерализуется. Под подсолнечник органические удобрения вносятся осенью до зяблевой вспашки (до 20 т/га хорошо перепревшего навоза). Внесение жидкого навоза до посева вызывает нарушение структуры почвы, на которое подсолнечник очень чувствительно реагирует.</w:t>
      </w:r>
    </w:p>
    <w:p w:rsidR="004B1A3A" w:rsidRPr="004B1A3A" w:rsidRDefault="00B62BE6" w:rsidP="004B1A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BE6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shape id="_x0000_i1026" type="#_x0000_t75" alt="" style="width:24.2pt;height:24.2pt"/>
        </w:pict>
      </w:r>
    </w:p>
    <w:p w:rsidR="004B1A3A" w:rsidRPr="004B1A3A" w:rsidRDefault="00B62BE6" w:rsidP="004B1A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FF"/>
          <w:sz w:val="16"/>
          <w:szCs w:val="16"/>
          <w:u w:val="single"/>
          <w:lang w:eastAsia="ru-RU"/>
        </w:rPr>
      </w:pPr>
      <w:r w:rsidRPr="004B1A3A">
        <w:rPr>
          <w:rFonts w:ascii="Times New Roman" w:eastAsia="Times New Roman" w:hAnsi="Times New Roman" w:cs="Times New Roman"/>
          <w:color w:val="082B01"/>
          <w:sz w:val="16"/>
          <w:szCs w:val="16"/>
          <w:lang w:eastAsia="ru-RU"/>
        </w:rPr>
        <w:fldChar w:fldCharType="begin"/>
      </w:r>
      <w:r w:rsidR="004B1A3A" w:rsidRPr="004B1A3A">
        <w:rPr>
          <w:rFonts w:ascii="Times New Roman" w:eastAsia="Times New Roman" w:hAnsi="Times New Roman" w:cs="Times New Roman"/>
          <w:color w:val="082B01"/>
          <w:sz w:val="16"/>
          <w:szCs w:val="16"/>
          <w:lang w:eastAsia="ru-RU"/>
        </w:rPr>
        <w:instrText xml:space="preserve"> HYPERLINK "http://plant-agro.com/product.php?id=139" \t "_blank" </w:instrText>
      </w:r>
      <w:r w:rsidRPr="004B1A3A">
        <w:rPr>
          <w:rFonts w:ascii="Times New Roman" w:eastAsia="Times New Roman" w:hAnsi="Times New Roman" w:cs="Times New Roman"/>
          <w:color w:val="082B01"/>
          <w:sz w:val="16"/>
          <w:szCs w:val="16"/>
          <w:lang w:eastAsia="ru-RU"/>
        </w:rPr>
        <w:fldChar w:fldCharType="separate"/>
      </w:r>
    </w:p>
    <w:p w:rsidR="004B1A3A" w:rsidRPr="004B1A3A" w:rsidRDefault="004B1A3A" w:rsidP="004B1A3A">
      <w:pPr>
        <w:pBdr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</w:pBd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1A3A">
        <w:rPr>
          <w:rFonts w:ascii="Times New Roman" w:eastAsia="Times New Roman" w:hAnsi="Times New Roman" w:cs="Times New Roman"/>
          <w:color w:val="0000FF"/>
          <w:sz w:val="16"/>
          <w:szCs w:val="16"/>
          <w:u w:val="single"/>
          <w:lang w:eastAsia="ru-RU"/>
        </w:rPr>
        <w:br/>
      </w:r>
    </w:p>
    <w:p w:rsidR="00B8456E" w:rsidRPr="004B1A3A" w:rsidRDefault="00B62BE6" w:rsidP="004B1A3A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4B1A3A">
        <w:rPr>
          <w:rFonts w:ascii="Times New Roman" w:eastAsia="Times New Roman" w:hAnsi="Times New Roman" w:cs="Times New Roman"/>
          <w:color w:val="082B01"/>
          <w:sz w:val="16"/>
          <w:szCs w:val="16"/>
          <w:lang w:eastAsia="ru-RU"/>
        </w:rPr>
        <w:fldChar w:fldCharType="end"/>
      </w:r>
    </w:p>
    <w:sectPr w:rsidR="00B8456E" w:rsidRPr="004B1A3A" w:rsidSect="00B845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9469C3"/>
    <w:multiLevelType w:val="multilevel"/>
    <w:tmpl w:val="F73A0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savePreviewPicture/>
  <w:compat/>
  <w:rsids>
    <w:rsidRoot w:val="004B1A3A"/>
    <w:rsid w:val="000139A3"/>
    <w:rsid w:val="003C0BA9"/>
    <w:rsid w:val="00435D13"/>
    <w:rsid w:val="004B1A3A"/>
    <w:rsid w:val="005E5246"/>
    <w:rsid w:val="00B62BE6"/>
    <w:rsid w:val="00B8456E"/>
    <w:rsid w:val="00C217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56E"/>
  </w:style>
  <w:style w:type="paragraph" w:styleId="2">
    <w:name w:val="heading 2"/>
    <w:basedOn w:val="a"/>
    <w:link w:val="20"/>
    <w:uiPriority w:val="9"/>
    <w:qFormat/>
    <w:rsid w:val="004B1A3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B1A3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B1A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B1A3A"/>
    <w:rPr>
      <w:b/>
      <w:bCs/>
    </w:rPr>
  </w:style>
  <w:style w:type="character" w:styleId="a5">
    <w:name w:val="Hyperlink"/>
    <w:basedOn w:val="a0"/>
    <w:uiPriority w:val="99"/>
    <w:semiHidden/>
    <w:unhideWhenUsed/>
    <w:rsid w:val="004B1A3A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C0B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0B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136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97470">
          <w:marLeft w:val="0"/>
          <w:marRight w:val="0"/>
          <w:marTop w:val="0"/>
          <w:marBottom w:val="0"/>
          <w:divBdr>
            <w:top w:val="single" w:sz="12" w:space="0" w:color="DDDDD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77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25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992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208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dotted" w:sz="4" w:space="6" w:color="DDDDDD"/>
                          </w:divBdr>
                        </w:div>
                      </w:divsChild>
                    </w:div>
                    <w:div w:id="843087498">
                      <w:marLeft w:val="97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12011825">
          <w:marLeft w:val="0"/>
          <w:marRight w:val="0"/>
          <w:marTop w:val="0"/>
          <w:marBottom w:val="0"/>
          <w:divBdr>
            <w:top w:val="single" w:sz="12" w:space="0" w:color="DDDDD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15548">
              <w:marLeft w:val="242"/>
              <w:marRight w:val="242"/>
              <w:marTop w:val="61"/>
              <w:marBottom w:val="6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1118</Words>
  <Characters>6377</Characters>
  <Application>Microsoft Office Word</Application>
  <DocSecurity>0</DocSecurity>
  <Lines>53</Lines>
  <Paragraphs>14</Paragraphs>
  <ScaleCrop>false</ScaleCrop>
  <Company/>
  <LinksUpToDate>false</LinksUpToDate>
  <CharactersWithSpaces>7481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2020-10-19T19:03:00Z</dcterms:created>
  <dcterms:modified xsi:type="dcterms:W3CDTF">2020-10-19T19:29:00Z</dcterms:modified>
</cp:coreProperties>
</file>